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4478" w14:textId="77777777" w:rsidR="000F162C" w:rsidRPr="000F162C" w:rsidRDefault="000F162C" w:rsidP="000F162C">
      <w:pPr>
        <w:keepNext/>
        <w:pageBreakBefore/>
        <w:pBdr>
          <w:bottom w:val="single" w:sz="18" w:space="1" w:color="333399"/>
        </w:pBdr>
        <w:tabs>
          <w:tab w:val="left" w:pos="397"/>
          <w:tab w:val="left" w:pos="907"/>
          <w:tab w:val="left" w:pos="1134"/>
        </w:tabs>
        <w:spacing w:line="276" w:lineRule="auto"/>
        <w:jc w:val="both"/>
        <w:outlineLvl w:val="0"/>
        <w:rPr>
          <w:rFonts w:ascii="Calibri" w:eastAsia="Calibri" w:hAnsi="Calibri" w:cs="Calibri"/>
          <w:b/>
          <w:bCs/>
          <w:color w:val="333399"/>
          <w:kern w:val="0"/>
          <w:sz w:val="32"/>
          <w:szCs w:val="32"/>
          <w:lang w:val="en-GB" w:eastAsia="en-IE"/>
          <w14:ligatures w14:val="none"/>
        </w:rPr>
      </w:pPr>
      <w:r w:rsidRPr="000F162C">
        <w:rPr>
          <w:rFonts w:ascii="Calibri" w:eastAsia="Calibri" w:hAnsi="Calibri" w:cs="Calibri"/>
          <w:b/>
          <w:bCs/>
          <w:color w:val="333399"/>
          <w:kern w:val="0"/>
          <w:sz w:val="32"/>
          <w:szCs w:val="32"/>
          <w:lang w:val="en-GB" w:eastAsia="en-IE"/>
          <w14:ligatures w14:val="none"/>
        </w:rPr>
        <w:t>Appendix 3: Tenderers’ Statement</w:t>
      </w:r>
    </w:p>
    <w:p w14:paraId="14E1975F"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[Tenderers shall complete and return the following form of Tenderers’ Statement printed on the Tenderers’ headed notepaper and signed by the Tenderer.] </w:t>
      </w:r>
    </w:p>
    <w:p w14:paraId="2D78E0F1"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p>
    <w:p w14:paraId="115A57B1" w14:textId="77777777" w:rsidR="000F162C" w:rsidRPr="000F162C" w:rsidRDefault="000F162C" w:rsidP="000F162C">
      <w:pPr>
        <w:keepLines/>
        <w:spacing w:after="120" w:line="276" w:lineRule="auto"/>
        <w:jc w:val="center"/>
        <w:rPr>
          <w:rFonts w:ascii="Calibri" w:eastAsia="Calibri" w:hAnsi="Calibri" w:cs="Calibri"/>
          <w:b/>
          <w:bCs/>
          <w:kern w:val="0"/>
          <w:sz w:val="22"/>
          <w:szCs w:val="22"/>
          <w:lang w:val="en-GB" w:eastAsia="en-IE"/>
          <w14:ligatures w14:val="none"/>
        </w:rPr>
      </w:pPr>
      <w:r w:rsidRPr="000F162C">
        <w:rPr>
          <w:rFonts w:ascii="Calibri" w:eastAsia="Calibri" w:hAnsi="Calibri" w:cs="Calibri"/>
          <w:b/>
          <w:bCs/>
          <w:kern w:val="0"/>
          <w:sz w:val="22"/>
          <w:szCs w:val="22"/>
          <w:lang w:val="en-GB" w:eastAsia="en-IE"/>
          <w14:ligatures w14:val="none"/>
        </w:rPr>
        <w:t>TENDERERS’ STATEMENT</w:t>
      </w:r>
    </w:p>
    <w:p w14:paraId="51E2E87B" w14:textId="77777777" w:rsidR="000F162C" w:rsidRPr="000F162C" w:rsidRDefault="000F162C" w:rsidP="000F162C">
      <w:pPr>
        <w:keepLines/>
        <w:spacing w:after="120" w:line="276" w:lineRule="auto"/>
        <w:jc w:val="both"/>
        <w:rPr>
          <w:rFonts w:ascii="Calibri" w:eastAsia="Calibri" w:hAnsi="Calibri" w:cs="Calibri"/>
          <w:b/>
          <w:bCs/>
          <w:kern w:val="0"/>
          <w:sz w:val="22"/>
          <w:szCs w:val="22"/>
          <w:lang w:val="en-GB" w:eastAsia="en-IE"/>
          <w14:ligatures w14:val="none"/>
        </w:rPr>
      </w:pPr>
    </w:p>
    <w:p w14:paraId="08FDA5F5"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TO:  </w:t>
      </w:r>
      <w:r w:rsidRPr="000F162C">
        <w:rPr>
          <w:rFonts w:ascii="Calibri" w:eastAsia="Calibri" w:hAnsi="Calibri" w:cs="Calibri"/>
          <w:kern w:val="0"/>
          <w:sz w:val="22"/>
          <w:szCs w:val="22"/>
          <w:highlight w:val="lightGray"/>
          <w:lang w:val="en-GB" w:eastAsia="en-IE"/>
          <w14:ligatures w14:val="none"/>
        </w:rPr>
        <w:t>Kerry Education and Training Board</w:t>
      </w:r>
      <w:r w:rsidRPr="000F162C">
        <w:rPr>
          <w:rFonts w:ascii="Calibri" w:eastAsia="Calibri" w:hAnsi="Calibri" w:cs="Calibri"/>
          <w:kern w:val="0"/>
          <w:sz w:val="22"/>
          <w:szCs w:val="22"/>
          <w:lang w:val="en-GB" w:eastAsia="en-IE"/>
          <w14:ligatures w14:val="none"/>
        </w:rPr>
        <w:t xml:space="preserve"> (the “Contracting Authority”)</w:t>
      </w:r>
    </w:p>
    <w:p w14:paraId="05D4515E"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RE: Request for Tenders for the Supply of </w:t>
      </w:r>
      <w:r w:rsidRPr="000F162C">
        <w:rPr>
          <w:rFonts w:ascii="Calibri" w:eastAsia="Calibri" w:hAnsi="Calibri" w:cs="Calibri"/>
          <w:kern w:val="0"/>
          <w:sz w:val="22"/>
          <w:szCs w:val="22"/>
          <w:highlight w:val="lightGray"/>
          <w:lang w:val="en-GB" w:eastAsia="en-IE"/>
          <w14:ligatures w14:val="none"/>
        </w:rPr>
        <w:t>Contracted Training Services</w:t>
      </w:r>
    </w:p>
    <w:p w14:paraId="3D4240D1"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p>
    <w:p w14:paraId="31BD5836" w14:textId="77777777" w:rsidR="000F162C" w:rsidRPr="000F162C" w:rsidRDefault="000F162C" w:rsidP="000F162C">
      <w:pPr>
        <w:keepLines/>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9071" w:type="dxa"/>
        <w:tblLayout w:type="fixed"/>
        <w:tblLook w:val="0000" w:firstRow="0" w:lastRow="0" w:firstColumn="0" w:lastColumn="0" w:noHBand="0" w:noVBand="0"/>
      </w:tblPr>
      <w:tblGrid>
        <w:gridCol w:w="807"/>
        <w:gridCol w:w="8264"/>
      </w:tblGrid>
      <w:tr w:rsidR="000F162C" w:rsidRPr="000F162C" w14:paraId="70CFB181" w14:textId="77777777" w:rsidTr="004D188C">
        <w:trPr>
          <w:trHeight w:val="636"/>
        </w:trPr>
        <w:tc>
          <w:tcPr>
            <w:tcW w:w="807" w:type="dxa"/>
          </w:tcPr>
          <w:p w14:paraId="47EDD1A1"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w:t>
            </w:r>
          </w:p>
        </w:tc>
        <w:tc>
          <w:tcPr>
            <w:tcW w:w="8264" w:type="dxa"/>
          </w:tcPr>
          <w:p w14:paraId="098FE84E"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understand the nature and extent of the Services required to be delivered as described in Requirements and Specifications at Appendix 1 to the RFT.</w:t>
            </w:r>
          </w:p>
        </w:tc>
      </w:tr>
      <w:tr w:rsidR="000F162C" w:rsidRPr="000F162C" w14:paraId="1F93A5E4" w14:textId="77777777" w:rsidTr="004D188C">
        <w:trPr>
          <w:trHeight w:val="1186"/>
        </w:trPr>
        <w:tc>
          <w:tcPr>
            <w:tcW w:w="807" w:type="dxa"/>
          </w:tcPr>
          <w:p w14:paraId="6AD99267"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2.</w:t>
            </w:r>
          </w:p>
        </w:tc>
        <w:tc>
          <w:tcPr>
            <w:tcW w:w="8264" w:type="dxa"/>
          </w:tcPr>
          <w:p w14:paraId="37D27307"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We accept </w:t>
            </w:r>
            <w:proofErr w:type="gramStart"/>
            <w:r w:rsidRPr="000F162C">
              <w:rPr>
                <w:rFonts w:ascii="Calibri" w:eastAsia="Calibri" w:hAnsi="Calibri" w:cs="Calibri"/>
                <w:kern w:val="0"/>
                <w:sz w:val="22"/>
                <w:szCs w:val="22"/>
                <w:lang w:val="en-GB" w:eastAsia="en-IE"/>
                <w14:ligatures w14:val="none"/>
              </w:rPr>
              <w:t>all of</w:t>
            </w:r>
            <w:proofErr w:type="gramEnd"/>
            <w:r w:rsidRPr="000F162C">
              <w:rPr>
                <w:rFonts w:ascii="Calibri" w:eastAsia="Calibri" w:hAnsi="Calibri" w:cs="Calibri"/>
                <w:kern w:val="0"/>
                <w:sz w:val="22"/>
                <w:szCs w:val="22"/>
                <w:lang w:val="en-GB" w:eastAsia="en-IE"/>
                <w14:ligatures w14:val="none"/>
              </w:rPr>
              <w:t xml:space="preserve"> the Terms and Conditions of the RFT, the Services Contract and the Confidentiality Agreement and agree if awarded a Services Contract to execute the Services Contract at Appendix 5 to the RFT and the Confidentiality Agreement at Appendix 6 to the RFT.</w:t>
            </w:r>
          </w:p>
        </w:tc>
      </w:tr>
      <w:tr w:rsidR="000F162C" w:rsidRPr="000F162C" w14:paraId="097ADA51" w14:textId="77777777" w:rsidTr="004D188C">
        <w:tc>
          <w:tcPr>
            <w:tcW w:w="807" w:type="dxa"/>
          </w:tcPr>
          <w:p w14:paraId="7E4FE734"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3.</w:t>
            </w:r>
          </w:p>
        </w:tc>
        <w:tc>
          <w:tcPr>
            <w:tcW w:w="8264" w:type="dxa"/>
          </w:tcPr>
          <w:p w14:paraId="5A65ABC0"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accept all the Selection and Award Criteria as set out in Part 3 of the RFT.</w:t>
            </w:r>
          </w:p>
        </w:tc>
      </w:tr>
      <w:tr w:rsidR="000F162C" w:rsidRPr="000F162C" w14:paraId="5939D792" w14:textId="77777777" w:rsidTr="004D188C">
        <w:tc>
          <w:tcPr>
            <w:tcW w:w="807" w:type="dxa"/>
          </w:tcPr>
          <w:p w14:paraId="491608AD"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4.</w:t>
            </w:r>
          </w:p>
        </w:tc>
        <w:tc>
          <w:tcPr>
            <w:tcW w:w="8264" w:type="dxa"/>
          </w:tcPr>
          <w:p w14:paraId="6D57B7FA"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agree to provide the Contracting Authority with the Services in accordance with the RFT and our Tender.</w:t>
            </w:r>
          </w:p>
        </w:tc>
      </w:tr>
      <w:tr w:rsidR="000F162C" w:rsidRPr="000F162C" w14:paraId="6CA7E1EB" w14:textId="77777777" w:rsidTr="004D188C">
        <w:tc>
          <w:tcPr>
            <w:tcW w:w="807" w:type="dxa"/>
          </w:tcPr>
          <w:p w14:paraId="1B0FEFA8"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5.</w:t>
            </w:r>
          </w:p>
        </w:tc>
        <w:tc>
          <w:tcPr>
            <w:tcW w:w="8264" w:type="dxa"/>
          </w:tcPr>
          <w:p w14:paraId="4D69BDEC"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agree that, if awarded any Services Contract, we shall, in the performance of such contract, comply with all applicable obligations in the field of environmental, social and labour law.</w:t>
            </w:r>
          </w:p>
        </w:tc>
      </w:tr>
      <w:tr w:rsidR="000F162C" w:rsidRPr="000F162C" w14:paraId="556E1A32" w14:textId="77777777" w:rsidTr="004D188C">
        <w:tc>
          <w:tcPr>
            <w:tcW w:w="807" w:type="dxa"/>
          </w:tcPr>
          <w:p w14:paraId="7F92F6BE"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6.</w:t>
            </w:r>
          </w:p>
        </w:tc>
        <w:tc>
          <w:tcPr>
            <w:tcW w:w="8264" w:type="dxa"/>
          </w:tcPr>
          <w:p w14:paraId="4410D953"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confirm that we have complied with all requirements as set out at Part 2 of the RFT.</w:t>
            </w:r>
          </w:p>
        </w:tc>
      </w:tr>
      <w:tr w:rsidR="000F162C" w:rsidRPr="000F162C" w14:paraId="29D039A9" w14:textId="77777777" w:rsidTr="004D188C">
        <w:tc>
          <w:tcPr>
            <w:tcW w:w="807" w:type="dxa"/>
          </w:tcPr>
          <w:p w14:paraId="7BEFD038" w14:textId="77777777" w:rsidR="000F162C" w:rsidRPr="000F162C" w:rsidRDefault="000F162C" w:rsidP="000F162C">
            <w:pPr>
              <w:spacing w:after="120" w:line="276" w:lineRule="auto"/>
              <w:jc w:val="both"/>
              <w:rPr>
                <w:rFonts w:ascii="Calibri" w:eastAsia="Calibri" w:hAnsi="Calibri" w:cs="Calibri"/>
                <w:color w:val="000080"/>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7.</w:t>
            </w:r>
          </w:p>
        </w:tc>
        <w:tc>
          <w:tcPr>
            <w:tcW w:w="8264" w:type="dxa"/>
          </w:tcPr>
          <w:p w14:paraId="3A13EF4D"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We confirm that all prices quoted in our Tender will remain valid for the </w:t>
            </w:r>
            <w:proofErr w:type="gramStart"/>
            <w:r w:rsidRPr="000F162C">
              <w:rPr>
                <w:rFonts w:ascii="Calibri" w:eastAsia="Calibri" w:hAnsi="Calibri" w:cs="Calibri"/>
                <w:kern w:val="0"/>
                <w:sz w:val="22"/>
                <w:szCs w:val="22"/>
                <w:lang w:val="en-GB" w:eastAsia="en-IE"/>
                <w14:ligatures w14:val="none"/>
              </w:rPr>
              <w:t>period of time</w:t>
            </w:r>
            <w:proofErr w:type="gramEnd"/>
            <w:r w:rsidRPr="000F162C">
              <w:rPr>
                <w:rFonts w:ascii="Calibri" w:eastAsia="Calibri" w:hAnsi="Calibri" w:cs="Calibri"/>
                <w:kern w:val="0"/>
                <w:sz w:val="22"/>
                <w:szCs w:val="22"/>
                <w:lang w:val="en-GB" w:eastAsia="en-IE"/>
                <w14:ligatures w14:val="none"/>
              </w:rPr>
              <w:t xml:space="preserve"> commencing from the Tender Deadline, as specified at paragraph 2.10.3 of the RFT. </w:t>
            </w:r>
          </w:p>
        </w:tc>
      </w:tr>
      <w:tr w:rsidR="000F162C" w:rsidRPr="000F162C" w14:paraId="3CD4B55E" w14:textId="77777777" w:rsidTr="004D188C">
        <w:tc>
          <w:tcPr>
            <w:tcW w:w="807" w:type="dxa"/>
          </w:tcPr>
          <w:p w14:paraId="3440D652"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8.</w:t>
            </w:r>
          </w:p>
        </w:tc>
        <w:tc>
          <w:tcPr>
            <w:tcW w:w="8264" w:type="dxa"/>
          </w:tcPr>
          <w:p w14:paraId="366ADE08"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shall, if awarded any Services Contract under the RFT, have in place on the Effective Date of the Services Contract all insurances (if any) as required by paragraph 2.21.1 of the RFT.</w:t>
            </w:r>
          </w:p>
        </w:tc>
      </w:tr>
      <w:tr w:rsidR="000F162C" w:rsidRPr="000F162C" w14:paraId="6CD5E86D" w14:textId="77777777" w:rsidTr="004D188C">
        <w:tc>
          <w:tcPr>
            <w:tcW w:w="807" w:type="dxa"/>
          </w:tcPr>
          <w:p w14:paraId="473EB688"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9.</w:t>
            </w:r>
          </w:p>
        </w:tc>
        <w:tc>
          <w:tcPr>
            <w:tcW w:w="8264" w:type="dxa"/>
          </w:tcPr>
          <w:p w14:paraId="4BED6203"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0F162C" w:rsidRPr="000F162C" w14:paraId="52EAB20B" w14:textId="77777777" w:rsidTr="004D188C">
        <w:tc>
          <w:tcPr>
            <w:tcW w:w="807" w:type="dxa"/>
          </w:tcPr>
          <w:p w14:paraId="6542878B"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lastRenderedPageBreak/>
              <w:t>10.</w:t>
            </w:r>
          </w:p>
        </w:tc>
        <w:tc>
          <w:tcPr>
            <w:tcW w:w="8264" w:type="dxa"/>
          </w:tcPr>
          <w:p w14:paraId="4456D9B4"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We do not come within the category of prohibited economic operators identified in Regulation (EU) No 833/2014 of 31 July 2014 (as amended by EU Regulation 2022/576 or any subsequent amendments to same).</w:t>
            </w:r>
          </w:p>
        </w:tc>
      </w:tr>
      <w:tr w:rsidR="000F162C" w:rsidRPr="000F162C" w14:paraId="64DEA750" w14:textId="77777777" w:rsidTr="004D188C">
        <w:tc>
          <w:tcPr>
            <w:tcW w:w="807" w:type="dxa"/>
          </w:tcPr>
          <w:p w14:paraId="10BD402B"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11.</w:t>
            </w:r>
          </w:p>
        </w:tc>
        <w:tc>
          <w:tcPr>
            <w:tcW w:w="8264" w:type="dxa"/>
          </w:tcPr>
          <w:p w14:paraId="475361E0"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 xml:space="preserve">The origin of goods connected to our Tender, if any, are not subject to the prohibitions set out in Regulation (EU) No 833/2014 (as amended by EU Regulation 2022/576 or any subsequent amendments to same).          </w:t>
            </w:r>
          </w:p>
        </w:tc>
      </w:tr>
      <w:tr w:rsidR="000F162C" w:rsidRPr="000F162C" w14:paraId="53B2BA3E" w14:textId="77777777" w:rsidTr="004D188C">
        <w:tc>
          <w:tcPr>
            <w:tcW w:w="807" w:type="dxa"/>
          </w:tcPr>
          <w:p w14:paraId="4CC59934" w14:textId="77777777" w:rsidR="000F162C" w:rsidRPr="000F162C" w:rsidRDefault="000F162C" w:rsidP="000F162C">
            <w:pPr>
              <w:spacing w:after="120" w:line="276" w:lineRule="auto"/>
              <w:jc w:val="both"/>
              <w:rPr>
                <w:rFonts w:ascii="Calibri" w:eastAsia="Calibri" w:hAnsi="Calibri" w:cs="Calibri"/>
                <w:color w:val="0000FF"/>
                <w:kern w:val="0"/>
                <w:sz w:val="22"/>
                <w:szCs w:val="22"/>
                <w:lang w:val="en-GB" w:eastAsia="en-IE"/>
                <w14:ligatures w14:val="none"/>
              </w:rPr>
            </w:pPr>
            <w:r w:rsidRPr="000F162C">
              <w:rPr>
                <w:rFonts w:ascii="Calibri" w:eastAsia="Calibri" w:hAnsi="Calibri" w:cs="Calibri"/>
                <w:color w:val="0000FF"/>
                <w:kern w:val="0"/>
                <w:sz w:val="22"/>
                <w:szCs w:val="22"/>
                <w:lang w:val="en-GB" w:eastAsia="en-IE"/>
                <w14:ligatures w14:val="none"/>
              </w:rPr>
              <w:t>12.</w:t>
            </w:r>
          </w:p>
        </w:tc>
        <w:tc>
          <w:tcPr>
            <w:tcW w:w="8264" w:type="dxa"/>
          </w:tcPr>
          <w:p w14:paraId="5393445E"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r w:rsidRPr="000F162C">
              <w:rPr>
                <w:rFonts w:ascii="Calibri" w:eastAsia="Calibri" w:hAnsi="Calibri" w:cs="Calibri"/>
                <w:kern w:val="0"/>
                <w:sz w:val="22"/>
                <w:szCs w:val="22"/>
                <w:lang w:val="en-GB" w:eastAsia="en-IE"/>
                <w14:ligatures w14:val="non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0A9FAC2D"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p>
    <w:tbl>
      <w:tblPr>
        <w:tblW w:w="90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208"/>
        <w:gridCol w:w="4833"/>
      </w:tblGrid>
      <w:tr w:rsidR="000F162C" w:rsidRPr="000F162C" w14:paraId="1655D869" w14:textId="77777777" w:rsidTr="004D188C">
        <w:trPr>
          <w:trHeight w:val="940"/>
        </w:trPr>
        <w:tc>
          <w:tcPr>
            <w:tcW w:w="4208" w:type="dxa"/>
          </w:tcPr>
          <w:p w14:paraId="2A9CF10C"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SIGNED</w:t>
            </w:r>
          </w:p>
          <w:p w14:paraId="61D823C3"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3BE0D7D7"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3BC53171"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p w14:paraId="170689D4"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(Authorised Signatory)</w:t>
            </w:r>
          </w:p>
        </w:tc>
        <w:tc>
          <w:tcPr>
            <w:tcW w:w="4833" w:type="dxa"/>
          </w:tcPr>
          <w:p w14:paraId="70E25252"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Company</w:t>
            </w:r>
          </w:p>
          <w:p w14:paraId="357CF87E"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p>
        </w:tc>
      </w:tr>
      <w:tr w:rsidR="000F162C" w:rsidRPr="000F162C" w14:paraId="6CA812B7" w14:textId="77777777" w:rsidTr="004D188C">
        <w:trPr>
          <w:cantSplit/>
          <w:trHeight w:val="940"/>
        </w:trPr>
        <w:tc>
          <w:tcPr>
            <w:tcW w:w="4208" w:type="dxa"/>
          </w:tcPr>
          <w:p w14:paraId="765BF76D"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Print name</w:t>
            </w:r>
          </w:p>
        </w:tc>
        <w:tc>
          <w:tcPr>
            <w:tcW w:w="4833" w:type="dxa"/>
            <w:vMerge w:val="restart"/>
          </w:tcPr>
          <w:p w14:paraId="41301525"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Address</w:t>
            </w:r>
          </w:p>
        </w:tc>
      </w:tr>
      <w:tr w:rsidR="000F162C" w:rsidRPr="000F162C" w14:paraId="6B319CAA" w14:textId="77777777" w:rsidTr="004D188C">
        <w:trPr>
          <w:cantSplit/>
          <w:trHeight w:val="940"/>
        </w:trPr>
        <w:tc>
          <w:tcPr>
            <w:tcW w:w="4208" w:type="dxa"/>
          </w:tcPr>
          <w:p w14:paraId="06E2F45D" w14:textId="77777777" w:rsidR="000F162C" w:rsidRPr="000F162C" w:rsidRDefault="000F162C" w:rsidP="000F162C">
            <w:pPr>
              <w:spacing w:after="120" w:line="276" w:lineRule="auto"/>
              <w:jc w:val="both"/>
              <w:rPr>
                <w:rFonts w:ascii="Calibri" w:eastAsia="Calibri" w:hAnsi="Calibri" w:cs="Calibri"/>
                <w:b/>
                <w:bCs/>
                <w:color w:val="333399"/>
                <w:kern w:val="0"/>
                <w:sz w:val="22"/>
                <w:szCs w:val="22"/>
                <w:lang w:val="en-GB" w:eastAsia="en-IE"/>
                <w14:ligatures w14:val="none"/>
              </w:rPr>
            </w:pPr>
            <w:r w:rsidRPr="000F162C">
              <w:rPr>
                <w:rFonts w:ascii="Calibri" w:eastAsia="Calibri" w:hAnsi="Calibri" w:cs="Calibri"/>
                <w:b/>
                <w:bCs/>
                <w:color w:val="333399"/>
                <w:kern w:val="0"/>
                <w:sz w:val="22"/>
                <w:szCs w:val="22"/>
                <w:lang w:val="en-GB" w:eastAsia="en-IE"/>
                <w14:ligatures w14:val="none"/>
              </w:rPr>
              <w:t>Date</w:t>
            </w:r>
          </w:p>
        </w:tc>
        <w:tc>
          <w:tcPr>
            <w:tcW w:w="4833" w:type="dxa"/>
            <w:vMerge/>
          </w:tcPr>
          <w:p w14:paraId="4BC54D41" w14:textId="77777777" w:rsidR="000F162C" w:rsidRPr="000F162C" w:rsidRDefault="000F162C" w:rsidP="000F162C">
            <w:pPr>
              <w:widowControl w:val="0"/>
              <w:pBdr>
                <w:top w:val="nil"/>
                <w:left w:val="nil"/>
                <w:bottom w:val="nil"/>
                <w:right w:val="nil"/>
                <w:between w:val="nil"/>
              </w:pBdr>
              <w:spacing w:after="0" w:line="276" w:lineRule="auto"/>
              <w:rPr>
                <w:rFonts w:ascii="Calibri" w:eastAsia="Calibri" w:hAnsi="Calibri" w:cs="Calibri"/>
                <w:b/>
                <w:bCs/>
                <w:color w:val="333399"/>
                <w:kern w:val="0"/>
                <w:sz w:val="22"/>
                <w:szCs w:val="22"/>
                <w:lang w:val="en-GB" w:eastAsia="en-IE"/>
                <w14:ligatures w14:val="none"/>
              </w:rPr>
            </w:pPr>
          </w:p>
        </w:tc>
      </w:tr>
    </w:tbl>
    <w:p w14:paraId="69540EBB" w14:textId="77777777" w:rsidR="000F162C" w:rsidRPr="000F162C" w:rsidRDefault="000F162C" w:rsidP="000F162C">
      <w:pPr>
        <w:spacing w:after="120" w:line="276" w:lineRule="auto"/>
        <w:jc w:val="both"/>
        <w:rPr>
          <w:rFonts w:ascii="Calibri" w:eastAsia="Calibri" w:hAnsi="Calibri" w:cs="Calibri"/>
          <w:kern w:val="0"/>
          <w:sz w:val="22"/>
          <w:szCs w:val="22"/>
          <w:lang w:val="en-GB" w:eastAsia="en-IE"/>
          <w14:ligatures w14:val="none"/>
        </w:rPr>
      </w:pPr>
    </w:p>
    <w:p w14:paraId="58C60834" w14:textId="77777777" w:rsidR="000F162C" w:rsidRPr="000F162C" w:rsidRDefault="000F162C" w:rsidP="000F162C">
      <w:pPr>
        <w:spacing w:after="120" w:line="276" w:lineRule="auto"/>
        <w:rPr>
          <w:rFonts w:ascii="Calibri" w:eastAsia="Calibri" w:hAnsi="Calibri" w:cs="Calibri"/>
          <w:kern w:val="0"/>
          <w:sz w:val="22"/>
          <w:szCs w:val="22"/>
          <w:lang w:val="en-GB" w:eastAsia="en-IE"/>
          <w14:ligatures w14:val="none"/>
        </w:rPr>
      </w:pPr>
    </w:p>
    <w:p w14:paraId="40359ECA" w14:textId="77777777" w:rsidR="00CC5D7C" w:rsidRDefault="000F162C" w:rsidP="000F162C">
      <w:r w:rsidRPr="000F162C">
        <w:rPr>
          <w:rFonts w:ascii="Calibri" w:eastAsia="Calibri" w:hAnsi="Calibri" w:cs="Calibri"/>
          <w:kern w:val="0"/>
          <w:sz w:val="22"/>
          <w:szCs w:val="22"/>
          <w:lang w:val="en-GB" w:eastAsia="en-IE"/>
          <w14:ligatures w14:val="none"/>
        </w:rPr>
        <w:br w:type="page"/>
      </w:r>
    </w:p>
    <w:sectPr w:rsidR="00CC5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62C"/>
    <w:rsid w:val="000F162C"/>
    <w:rsid w:val="002A5B32"/>
    <w:rsid w:val="00680150"/>
    <w:rsid w:val="00CC5D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E7CB9"/>
  <w15:chartTrackingRefBased/>
  <w15:docId w15:val="{AD4658CB-79BF-4AF7-8E74-28352A5D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16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16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16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16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16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16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6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6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6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6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16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16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16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16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16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6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6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62C"/>
    <w:rPr>
      <w:rFonts w:eastAsiaTheme="majorEastAsia" w:cstheme="majorBidi"/>
      <w:color w:val="272727" w:themeColor="text1" w:themeTint="D8"/>
    </w:rPr>
  </w:style>
  <w:style w:type="paragraph" w:styleId="Title">
    <w:name w:val="Title"/>
    <w:basedOn w:val="Normal"/>
    <w:next w:val="Normal"/>
    <w:link w:val="TitleChar"/>
    <w:uiPriority w:val="10"/>
    <w:qFormat/>
    <w:rsid w:val="000F16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6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6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6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62C"/>
    <w:pPr>
      <w:spacing w:before="160"/>
      <w:jc w:val="center"/>
    </w:pPr>
    <w:rPr>
      <w:i/>
      <w:iCs/>
      <w:color w:val="404040" w:themeColor="text1" w:themeTint="BF"/>
    </w:rPr>
  </w:style>
  <w:style w:type="character" w:customStyle="1" w:styleId="QuoteChar">
    <w:name w:val="Quote Char"/>
    <w:basedOn w:val="DefaultParagraphFont"/>
    <w:link w:val="Quote"/>
    <w:uiPriority w:val="29"/>
    <w:rsid w:val="000F162C"/>
    <w:rPr>
      <w:i/>
      <w:iCs/>
      <w:color w:val="404040" w:themeColor="text1" w:themeTint="BF"/>
    </w:rPr>
  </w:style>
  <w:style w:type="paragraph" w:styleId="ListParagraph">
    <w:name w:val="List Paragraph"/>
    <w:basedOn w:val="Normal"/>
    <w:uiPriority w:val="34"/>
    <w:qFormat/>
    <w:rsid w:val="000F162C"/>
    <w:pPr>
      <w:ind w:left="720"/>
      <w:contextualSpacing/>
    </w:pPr>
  </w:style>
  <w:style w:type="character" w:styleId="IntenseEmphasis">
    <w:name w:val="Intense Emphasis"/>
    <w:basedOn w:val="DefaultParagraphFont"/>
    <w:uiPriority w:val="21"/>
    <w:qFormat/>
    <w:rsid w:val="000F162C"/>
    <w:rPr>
      <w:i/>
      <w:iCs/>
      <w:color w:val="0F4761" w:themeColor="accent1" w:themeShade="BF"/>
    </w:rPr>
  </w:style>
  <w:style w:type="paragraph" w:styleId="IntenseQuote">
    <w:name w:val="Intense Quote"/>
    <w:basedOn w:val="Normal"/>
    <w:next w:val="Normal"/>
    <w:link w:val="IntenseQuoteChar"/>
    <w:uiPriority w:val="30"/>
    <w:qFormat/>
    <w:rsid w:val="000F16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162C"/>
    <w:rPr>
      <w:i/>
      <w:iCs/>
      <w:color w:val="0F4761" w:themeColor="accent1" w:themeShade="BF"/>
    </w:rPr>
  </w:style>
  <w:style w:type="character" w:styleId="IntenseReference">
    <w:name w:val="Intense Reference"/>
    <w:basedOn w:val="DefaultParagraphFont"/>
    <w:uiPriority w:val="32"/>
    <w:qFormat/>
    <w:rsid w:val="000F16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Props1.xml><?xml version="1.0" encoding="utf-8"?>
<ds:datastoreItem xmlns:ds="http://schemas.openxmlformats.org/officeDocument/2006/customXml" ds:itemID="{AFC9007D-BB32-4277-8CB7-E6F8ABAB3859}"/>
</file>

<file path=customXml/itemProps2.xml><?xml version="1.0" encoding="utf-8"?>
<ds:datastoreItem xmlns:ds="http://schemas.openxmlformats.org/officeDocument/2006/customXml" ds:itemID="{EBFD2C70-BF2D-462F-A4BD-26A175195409}"/>
</file>

<file path=customXml/itemProps3.xml><?xml version="1.0" encoding="utf-8"?>
<ds:datastoreItem xmlns:ds="http://schemas.openxmlformats.org/officeDocument/2006/customXml" ds:itemID="{67500ECF-2DE1-4303-8DD5-160CEA73A1E0}"/>
</file>

<file path=docProps/app.xml><?xml version="1.0" encoding="utf-8"?>
<Properties xmlns="http://schemas.openxmlformats.org/officeDocument/2006/extended-properties" xmlns:vt="http://schemas.openxmlformats.org/officeDocument/2006/docPropsVTypes">
  <Template>Normal</Template>
  <TotalTime>2</TotalTime>
  <Pages>3</Pages>
  <Words>547</Words>
  <Characters>2773</Characters>
  <Application>Microsoft Office Word</Application>
  <DocSecurity>0</DocSecurity>
  <Lines>77</Lines>
  <Paragraphs>43</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O'Neill</dc:creator>
  <cp:keywords/>
  <dc:description/>
  <cp:lastModifiedBy>Edward O'Neill</cp:lastModifiedBy>
  <cp:revision>1</cp:revision>
  <dcterms:created xsi:type="dcterms:W3CDTF">2026-06-07T13:50:00Z</dcterms:created>
  <dcterms:modified xsi:type="dcterms:W3CDTF">2026-06-07T13:52:00Z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ies>
</file>